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EBB" w:rsidRDefault="006F5EBB" w:rsidP="00627ED1">
      <w:pPr>
        <w:widowControl/>
        <w:tabs>
          <w:tab w:val="left" w:pos="720"/>
          <w:tab w:val="left" w:pos="1440"/>
          <w:tab w:val="center" w:pos="4680"/>
        </w:tabs>
        <w:jc w:val="center"/>
        <w:rPr>
          <w:rFonts w:ascii="Tahoma" w:hAnsi="Tahoma" w:cs="Tahoma"/>
          <w:b/>
          <w:color w:val="C00000"/>
          <w:sz w:val="28"/>
          <w:szCs w:val="28"/>
        </w:rPr>
      </w:pPr>
      <w:bookmarkStart w:id="0" w:name="_GoBack"/>
      <w:bookmarkEnd w:id="0"/>
    </w:p>
    <w:p w:rsidR="006F5EBB" w:rsidRDefault="006F5EBB" w:rsidP="00627ED1">
      <w:pPr>
        <w:widowControl/>
        <w:tabs>
          <w:tab w:val="left" w:pos="720"/>
          <w:tab w:val="left" w:pos="1440"/>
          <w:tab w:val="center" w:pos="4680"/>
        </w:tabs>
        <w:jc w:val="center"/>
        <w:rPr>
          <w:rFonts w:ascii="Tahoma" w:hAnsi="Tahoma" w:cs="Tahoma"/>
          <w:b/>
          <w:color w:val="C00000"/>
          <w:sz w:val="28"/>
          <w:szCs w:val="28"/>
        </w:rPr>
      </w:pPr>
      <w:r w:rsidRPr="00E50CA0">
        <w:rPr>
          <w:rFonts w:cs="Tahoma"/>
          <w:noProof/>
        </w:rPr>
        <w:drawing>
          <wp:inline distT="0" distB="0" distL="0" distR="0" wp14:anchorId="788CBA77" wp14:editId="49DA6C27">
            <wp:extent cx="36576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_logo_final_300.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1047750"/>
                    </a:xfrm>
                    <a:prstGeom prst="rect">
                      <a:avLst/>
                    </a:prstGeom>
                  </pic:spPr>
                </pic:pic>
              </a:graphicData>
            </a:graphic>
          </wp:inline>
        </w:drawing>
      </w:r>
    </w:p>
    <w:p w:rsidR="006F5EBB" w:rsidRDefault="006F5EBB" w:rsidP="00627ED1">
      <w:pPr>
        <w:widowControl/>
        <w:tabs>
          <w:tab w:val="left" w:pos="720"/>
          <w:tab w:val="left" w:pos="1440"/>
          <w:tab w:val="center" w:pos="4680"/>
        </w:tabs>
        <w:jc w:val="center"/>
        <w:rPr>
          <w:rFonts w:ascii="Tahoma" w:hAnsi="Tahoma" w:cs="Tahoma"/>
          <w:b/>
          <w:color w:val="C00000"/>
          <w:sz w:val="28"/>
          <w:szCs w:val="28"/>
        </w:rPr>
      </w:pPr>
    </w:p>
    <w:p w:rsidR="006F5EBB" w:rsidRDefault="006F5EBB" w:rsidP="00627ED1">
      <w:pPr>
        <w:widowControl/>
        <w:tabs>
          <w:tab w:val="left" w:pos="720"/>
          <w:tab w:val="left" w:pos="1440"/>
          <w:tab w:val="center" w:pos="4680"/>
        </w:tabs>
        <w:jc w:val="center"/>
        <w:rPr>
          <w:rFonts w:ascii="Tahoma" w:hAnsi="Tahoma" w:cs="Tahoma"/>
          <w:b/>
          <w:color w:val="C00000"/>
          <w:sz w:val="28"/>
          <w:szCs w:val="28"/>
        </w:rPr>
      </w:pPr>
    </w:p>
    <w:p w:rsidR="00B203F7" w:rsidRPr="006F5EBB" w:rsidRDefault="00B203F7" w:rsidP="00627ED1">
      <w:pPr>
        <w:widowControl/>
        <w:tabs>
          <w:tab w:val="left" w:pos="720"/>
          <w:tab w:val="left" w:pos="1440"/>
          <w:tab w:val="center" w:pos="4680"/>
        </w:tabs>
        <w:jc w:val="center"/>
        <w:rPr>
          <w:rFonts w:ascii="Tahoma" w:hAnsi="Tahoma" w:cs="Tahoma"/>
          <w:b/>
          <w:sz w:val="32"/>
          <w:szCs w:val="32"/>
        </w:rPr>
      </w:pPr>
      <w:r w:rsidRPr="006F5EBB">
        <w:rPr>
          <w:rFonts w:ascii="Tahoma" w:hAnsi="Tahoma" w:cs="Tahoma"/>
          <w:b/>
          <w:color w:val="C00000"/>
          <w:sz w:val="32"/>
          <w:szCs w:val="32"/>
        </w:rPr>
        <w:t xml:space="preserve">A </w:t>
      </w:r>
      <w:r w:rsidR="006F5EBB">
        <w:rPr>
          <w:rFonts w:ascii="Tahoma" w:hAnsi="Tahoma" w:cs="Tahoma"/>
          <w:b/>
          <w:color w:val="C00000"/>
          <w:sz w:val="32"/>
          <w:szCs w:val="32"/>
        </w:rPr>
        <w:t xml:space="preserve">Legislative </w:t>
      </w:r>
      <w:r w:rsidRPr="006F5EBB">
        <w:rPr>
          <w:rFonts w:ascii="Tahoma" w:hAnsi="Tahoma" w:cs="Tahoma"/>
          <w:b/>
          <w:color w:val="C00000"/>
          <w:sz w:val="32"/>
          <w:szCs w:val="32"/>
        </w:rPr>
        <w:t>History of Equal and Uniform in Texas</w:t>
      </w:r>
    </w:p>
    <w:p w:rsidR="00B203F7" w:rsidRPr="00B61204" w:rsidRDefault="00B203F7" w:rsidP="00627ED1">
      <w:pPr>
        <w:widowControl/>
        <w:tabs>
          <w:tab w:val="left" w:pos="720"/>
          <w:tab w:val="left" w:pos="1440"/>
          <w:tab w:val="center" w:pos="4680"/>
        </w:tabs>
        <w:jc w:val="center"/>
        <w:rPr>
          <w:rFonts w:ascii="Tahoma" w:hAnsi="Tahoma" w:cs="Tahoma"/>
        </w:rPr>
      </w:pPr>
    </w:p>
    <w:p w:rsidR="00B203F7" w:rsidRDefault="00B203F7" w:rsidP="006F5EBB">
      <w:pPr>
        <w:widowControl/>
        <w:numPr>
          <w:ilvl w:val="0"/>
          <w:numId w:val="2"/>
        </w:numPr>
        <w:tabs>
          <w:tab w:val="left" w:pos="720"/>
          <w:tab w:val="left" w:pos="1440"/>
          <w:tab w:val="center" w:pos="4680"/>
        </w:tabs>
        <w:jc w:val="both"/>
        <w:rPr>
          <w:rFonts w:ascii="Tahoma" w:hAnsi="Tahoma" w:cs="Tahoma"/>
        </w:rPr>
      </w:pPr>
      <w:r w:rsidRPr="00B61204">
        <w:rPr>
          <w:rFonts w:ascii="Tahoma" w:hAnsi="Tahoma" w:cs="Tahoma"/>
        </w:rPr>
        <w:t>Article VIII  Section 1 of the Texas</w:t>
      </w:r>
      <w:r>
        <w:rPr>
          <w:rFonts w:ascii="Tahoma" w:hAnsi="Tahoma" w:cs="Tahoma"/>
        </w:rPr>
        <w:t xml:space="preserve"> Constitution provides that “Taxation shall be equal and uniform” </w:t>
      </w:r>
    </w:p>
    <w:p w:rsidR="00B203F7" w:rsidRDefault="00B203F7" w:rsidP="006F5EBB">
      <w:pPr>
        <w:widowControl/>
        <w:tabs>
          <w:tab w:val="left" w:pos="720"/>
          <w:tab w:val="left" w:pos="1440"/>
          <w:tab w:val="center" w:pos="4680"/>
        </w:tabs>
        <w:jc w:val="both"/>
        <w:rPr>
          <w:rFonts w:ascii="Tahoma" w:hAnsi="Tahoma" w:cs="Tahoma"/>
        </w:rPr>
      </w:pPr>
    </w:p>
    <w:p w:rsidR="00B203F7" w:rsidRDefault="00DA4008" w:rsidP="00DA4008">
      <w:pPr>
        <w:widowControl/>
        <w:tabs>
          <w:tab w:val="left" w:pos="720"/>
          <w:tab w:val="left" w:pos="1440"/>
          <w:tab w:val="center" w:pos="4680"/>
        </w:tabs>
        <w:ind w:left="360"/>
        <w:jc w:val="both"/>
        <w:rPr>
          <w:rFonts w:ascii="Tahoma" w:hAnsi="Tahoma" w:cs="Tahoma"/>
        </w:rPr>
      </w:pPr>
      <w:r>
        <w:rPr>
          <w:rFonts w:ascii="Tahoma" w:hAnsi="Tahoma" w:cs="Tahoma"/>
        </w:rPr>
        <w:tab/>
      </w:r>
      <w:r w:rsidR="00B203F7">
        <w:rPr>
          <w:rFonts w:ascii="Tahoma" w:hAnsi="Tahoma" w:cs="Tahoma"/>
        </w:rPr>
        <w:t xml:space="preserve">This has been a mandate since the constitution of 1845. The Courts have held </w:t>
      </w:r>
      <w:r w:rsidR="006F5EBB">
        <w:rPr>
          <w:rFonts w:ascii="Tahoma" w:hAnsi="Tahoma" w:cs="Tahoma"/>
        </w:rPr>
        <w:t>that</w:t>
      </w:r>
      <w:r w:rsidR="00B203F7">
        <w:rPr>
          <w:rFonts w:ascii="Tahoma" w:hAnsi="Tahoma" w:cs="Tahoma"/>
        </w:rPr>
        <w:t xml:space="preserve"> if there is a conflict between equal and uniform and market value that equal and uniform prevails.</w:t>
      </w:r>
    </w:p>
    <w:p w:rsidR="00F11881" w:rsidRDefault="00F11881" w:rsidP="00B203F7">
      <w:pPr>
        <w:widowControl/>
        <w:tabs>
          <w:tab w:val="left" w:pos="720"/>
          <w:tab w:val="left" w:pos="1440"/>
          <w:tab w:val="center" w:pos="4680"/>
        </w:tabs>
        <w:ind w:left="720"/>
        <w:jc w:val="both"/>
        <w:rPr>
          <w:rFonts w:ascii="Tahoma" w:hAnsi="Tahoma" w:cs="Tahoma"/>
        </w:rPr>
      </w:pPr>
    </w:p>
    <w:p w:rsidR="004F1D41" w:rsidRDefault="00F11881" w:rsidP="004F1D41">
      <w:pPr>
        <w:pStyle w:val="ListParagraph"/>
        <w:tabs>
          <w:tab w:val="left" w:pos="720"/>
          <w:tab w:val="left" w:pos="1440"/>
          <w:tab w:val="center" w:pos="4680"/>
        </w:tabs>
        <w:ind w:left="360" w:firstLine="0"/>
        <w:rPr>
          <w:rFonts w:ascii="Tahoma" w:hAnsi="Tahoma" w:cs="Tahoma"/>
          <w:b/>
          <w:sz w:val="24"/>
          <w:szCs w:val="24"/>
        </w:rPr>
      </w:pPr>
      <w:r w:rsidRPr="00F11881">
        <w:rPr>
          <w:rFonts w:ascii="Tahoma" w:hAnsi="Tahoma" w:cs="Tahoma"/>
          <w:b/>
          <w:sz w:val="24"/>
          <w:szCs w:val="24"/>
        </w:rPr>
        <w:t>In summary from 1982 until 1997</w:t>
      </w:r>
      <w:r w:rsidR="004F1D41">
        <w:rPr>
          <w:rFonts w:ascii="Tahoma" w:hAnsi="Tahoma" w:cs="Tahoma"/>
          <w:b/>
          <w:sz w:val="24"/>
          <w:szCs w:val="24"/>
        </w:rPr>
        <w:t>,</w:t>
      </w:r>
      <w:r w:rsidRPr="00F11881">
        <w:rPr>
          <w:rFonts w:ascii="Tahoma" w:hAnsi="Tahoma" w:cs="Tahoma"/>
          <w:b/>
          <w:sz w:val="24"/>
          <w:szCs w:val="24"/>
        </w:rPr>
        <w:t xml:space="preserve"> there was no equal and uniform remedy for taxpayers.</w:t>
      </w:r>
      <w:r>
        <w:rPr>
          <w:rFonts w:ascii="Tahoma" w:hAnsi="Tahoma" w:cs="Tahoma"/>
          <w:b/>
          <w:sz w:val="24"/>
          <w:szCs w:val="24"/>
        </w:rPr>
        <w:t xml:space="preserve"> </w:t>
      </w:r>
    </w:p>
    <w:p w:rsidR="004F1D41" w:rsidRDefault="004F1D41" w:rsidP="004F1D41">
      <w:pPr>
        <w:pStyle w:val="ListParagraph"/>
        <w:tabs>
          <w:tab w:val="left" w:pos="720"/>
          <w:tab w:val="left" w:pos="1440"/>
          <w:tab w:val="center" w:pos="4680"/>
        </w:tabs>
        <w:ind w:left="360" w:firstLine="0"/>
        <w:rPr>
          <w:rFonts w:ascii="Tahoma" w:hAnsi="Tahoma" w:cs="Tahoma"/>
          <w:b/>
          <w:sz w:val="24"/>
          <w:szCs w:val="24"/>
        </w:rPr>
      </w:pPr>
    </w:p>
    <w:p w:rsidR="00B203F7" w:rsidRPr="00F11881" w:rsidRDefault="00F11881" w:rsidP="004F1D41">
      <w:pPr>
        <w:pStyle w:val="ListParagraph"/>
        <w:tabs>
          <w:tab w:val="left" w:pos="720"/>
          <w:tab w:val="left" w:pos="1440"/>
          <w:tab w:val="center" w:pos="4680"/>
        </w:tabs>
        <w:ind w:left="360" w:firstLine="0"/>
        <w:rPr>
          <w:rFonts w:ascii="Tahoma" w:hAnsi="Tahoma" w:cs="Tahoma"/>
          <w:b/>
          <w:sz w:val="24"/>
          <w:szCs w:val="24"/>
        </w:rPr>
      </w:pPr>
      <w:r>
        <w:rPr>
          <w:rFonts w:ascii="Tahoma" w:hAnsi="Tahoma" w:cs="Tahoma"/>
          <w:b/>
          <w:sz w:val="24"/>
          <w:szCs w:val="24"/>
        </w:rPr>
        <w:t xml:space="preserve">In 1997, the </w:t>
      </w:r>
      <w:r w:rsidR="004F1D41">
        <w:rPr>
          <w:rFonts w:ascii="Tahoma" w:hAnsi="Tahoma" w:cs="Tahoma"/>
          <w:b/>
          <w:sz w:val="24"/>
          <w:szCs w:val="24"/>
        </w:rPr>
        <w:t xml:space="preserve">tax </w:t>
      </w:r>
      <w:r>
        <w:rPr>
          <w:rFonts w:ascii="Tahoma" w:hAnsi="Tahoma" w:cs="Tahoma"/>
          <w:b/>
          <w:sz w:val="24"/>
          <w:szCs w:val="24"/>
        </w:rPr>
        <w:t>code was amended to provide an actual useful remedy to guarantee to constitutional mandate of equal and uniform taxation.</w:t>
      </w:r>
      <w:r w:rsidR="00FD32D5">
        <w:rPr>
          <w:rFonts w:ascii="Tahoma" w:hAnsi="Tahoma" w:cs="Tahoma"/>
          <w:b/>
          <w:sz w:val="24"/>
          <w:szCs w:val="24"/>
        </w:rPr>
        <w:t xml:space="preserve"> There have been five bills that have amended the statute. During the ten House and Senate votes on these</w:t>
      </w:r>
      <w:r w:rsidR="001D25A6">
        <w:rPr>
          <w:rFonts w:ascii="Tahoma" w:hAnsi="Tahoma" w:cs="Tahoma"/>
          <w:b/>
          <w:sz w:val="24"/>
          <w:szCs w:val="24"/>
        </w:rPr>
        <w:t xml:space="preserve"> five</w:t>
      </w:r>
      <w:r w:rsidR="00FD32D5">
        <w:rPr>
          <w:rFonts w:ascii="Tahoma" w:hAnsi="Tahoma" w:cs="Tahoma"/>
          <w:b/>
          <w:sz w:val="24"/>
          <w:szCs w:val="24"/>
        </w:rPr>
        <w:t xml:space="preserve"> bills only 3 no votes have been cast</w:t>
      </w:r>
      <w:r w:rsidR="001D25A6">
        <w:rPr>
          <w:rFonts w:ascii="Tahoma" w:hAnsi="Tahoma" w:cs="Tahoma"/>
          <w:b/>
          <w:sz w:val="24"/>
          <w:szCs w:val="24"/>
        </w:rPr>
        <w:t>.</w:t>
      </w:r>
    </w:p>
    <w:p w:rsidR="00FD32D5" w:rsidRDefault="00FD32D5" w:rsidP="006F5EBB">
      <w:pPr>
        <w:widowControl/>
        <w:autoSpaceDE/>
        <w:autoSpaceDN/>
        <w:adjustRightInd/>
        <w:spacing w:after="200" w:line="276" w:lineRule="auto"/>
        <w:jc w:val="both"/>
        <w:rPr>
          <w:rFonts w:ascii="Tahoma" w:eastAsia="Calibri" w:hAnsi="Tahoma" w:cs="Tahoma"/>
          <w:b/>
        </w:rPr>
      </w:pPr>
    </w:p>
    <w:p w:rsidR="006827D8" w:rsidRDefault="006827D8" w:rsidP="006F5EBB">
      <w:pPr>
        <w:widowControl/>
        <w:autoSpaceDE/>
        <w:autoSpaceDN/>
        <w:adjustRightInd/>
        <w:spacing w:after="200" w:line="276" w:lineRule="auto"/>
        <w:jc w:val="both"/>
        <w:rPr>
          <w:rFonts w:ascii="Tahoma" w:eastAsia="Calibri" w:hAnsi="Tahoma" w:cs="Tahoma"/>
          <w:b/>
        </w:rPr>
      </w:pPr>
      <w:r w:rsidRPr="006827D8">
        <w:rPr>
          <w:rFonts w:ascii="Tahoma" w:eastAsia="Calibri" w:hAnsi="Tahoma" w:cs="Tahoma"/>
          <w:b/>
        </w:rPr>
        <w:t>An Equal and Uniform Remedy that Provided No Remedy</w:t>
      </w:r>
      <w:r w:rsidR="000C69AA">
        <w:rPr>
          <w:rFonts w:ascii="Tahoma" w:eastAsia="Calibri" w:hAnsi="Tahoma" w:cs="Tahoma"/>
          <w:b/>
        </w:rPr>
        <w:t xml:space="preserve"> 1982 to 1997</w:t>
      </w:r>
      <w:r w:rsidRPr="006827D8">
        <w:rPr>
          <w:rFonts w:ascii="Tahoma" w:eastAsia="Calibri" w:hAnsi="Tahoma" w:cs="Tahoma"/>
          <w:b/>
        </w:rPr>
        <w:t>:</w:t>
      </w:r>
    </w:p>
    <w:p w:rsidR="006F5EBB" w:rsidRPr="00F11881" w:rsidRDefault="006F5EBB" w:rsidP="006F5EBB">
      <w:pPr>
        <w:pStyle w:val="ListParagraph"/>
        <w:numPr>
          <w:ilvl w:val="0"/>
          <w:numId w:val="1"/>
        </w:numPr>
        <w:tabs>
          <w:tab w:val="left" w:pos="720"/>
          <w:tab w:val="left" w:pos="1440"/>
          <w:tab w:val="center" w:pos="4680"/>
        </w:tabs>
        <w:rPr>
          <w:rFonts w:ascii="Tahoma" w:hAnsi="Tahoma" w:cs="Tahoma"/>
        </w:rPr>
      </w:pPr>
      <w:r w:rsidRPr="00F11881">
        <w:rPr>
          <w:rFonts w:ascii="Tahoma" w:hAnsi="Tahoma" w:cs="Tahoma"/>
          <w:sz w:val="24"/>
          <w:szCs w:val="24"/>
        </w:rPr>
        <w:t>The remedy available for equal and uniform from 1982 to 1997 provided no remedy</w:t>
      </w:r>
      <w:r w:rsidRPr="00F11881">
        <w:rPr>
          <w:rFonts w:ascii="Tahoma" w:hAnsi="Tahoma" w:cs="Tahoma"/>
        </w:rPr>
        <w:t>.</w:t>
      </w:r>
    </w:p>
    <w:p w:rsidR="00F11881" w:rsidRPr="00F11881" w:rsidRDefault="00F11881" w:rsidP="00F11881">
      <w:pPr>
        <w:tabs>
          <w:tab w:val="left" w:pos="720"/>
          <w:tab w:val="left" w:pos="1440"/>
          <w:tab w:val="center" w:pos="4680"/>
        </w:tabs>
        <w:rPr>
          <w:rFonts w:ascii="Tahoma" w:hAnsi="Tahoma" w:cs="Tahoma"/>
        </w:rPr>
      </w:pPr>
    </w:p>
    <w:p w:rsidR="00F11881" w:rsidRPr="00BE0AE9" w:rsidRDefault="00F11881" w:rsidP="00F11881">
      <w:pPr>
        <w:widowControl/>
        <w:numPr>
          <w:ilvl w:val="0"/>
          <w:numId w:val="1"/>
        </w:numPr>
        <w:autoSpaceDE/>
        <w:autoSpaceDN/>
        <w:adjustRightInd/>
        <w:spacing w:after="200" w:line="276" w:lineRule="auto"/>
        <w:jc w:val="both"/>
        <w:rPr>
          <w:rFonts w:ascii="Tahoma" w:eastAsia="Calibri" w:hAnsi="Tahoma" w:cs="Tahoma"/>
        </w:rPr>
      </w:pPr>
      <w:r>
        <w:rPr>
          <w:rFonts w:ascii="Tahoma" w:hAnsi="Tahoma" w:cs="Tahoma"/>
        </w:rPr>
        <w:t xml:space="preserve">The first statutory provision for equal and uniform was provided by </w:t>
      </w:r>
      <w:r w:rsidRPr="00BE0AE9">
        <w:rPr>
          <w:rFonts w:ascii="Tahoma" w:hAnsi="Tahoma" w:cs="Tahoma"/>
        </w:rPr>
        <w:t>Article 7145f(b)  Tex. Rev. Civil Stat. Ann.</w:t>
      </w:r>
      <w:r>
        <w:rPr>
          <w:rFonts w:ascii="Tahoma" w:hAnsi="Tahoma" w:cs="Tahoma"/>
        </w:rPr>
        <w:t xml:space="preserve"> </w:t>
      </w:r>
    </w:p>
    <w:p w:rsidR="00F11881" w:rsidRDefault="00F11881" w:rsidP="00DA4008">
      <w:pPr>
        <w:widowControl/>
        <w:autoSpaceDE/>
        <w:autoSpaceDN/>
        <w:adjustRightInd/>
        <w:spacing w:after="200" w:line="276" w:lineRule="auto"/>
        <w:ind w:left="450"/>
        <w:jc w:val="both"/>
        <w:rPr>
          <w:rFonts w:ascii="Tahoma" w:eastAsia="Calibri" w:hAnsi="Tahoma" w:cs="Tahoma"/>
        </w:rPr>
      </w:pPr>
      <w:r>
        <w:rPr>
          <w:rFonts w:ascii="Tahoma" w:eastAsia="Calibri" w:hAnsi="Tahoma" w:cs="Tahoma"/>
        </w:rPr>
        <w:t>The taxpayer had to prove a de facto assessment ratio for the entire county and apply it to the market value of the subject. This provision was almost never used because it was prohibitively expensive to prove an assessment ratio.</w:t>
      </w:r>
    </w:p>
    <w:p w:rsidR="006827D8" w:rsidRDefault="006827D8" w:rsidP="006827D8">
      <w:pPr>
        <w:pStyle w:val="ListParagraph"/>
        <w:numPr>
          <w:ilvl w:val="0"/>
          <w:numId w:val="1"/>
        </w:numPr>
        <w:spacing w:after="200" w:line="276" w:lineRule="auto"/>
        <w:rPr>
          <w:rFonts w:ascii="Tahoma" w:hAnsi="Tahoma" w:cs="Tahoma"/>
          <w:sz w:val="24"/>
          <w:szCs w:val="24"/>
        </w:rPr>
      </w:pPr>
      <w:r w:rsidRPr="006827D8">
        <w:rPr>
          <w:rFonts w:ascii="Tahoma" w:hAnsi="Tahoma" w:cs="Tahoma"/>
          <w:sz w:val="24"/>
          <w:szCs w:val="24"/>
        </w:rPr>
        <w:t>From 1982</w:t>
      </w:r>
      <w:r>
        <w:rPr>
          <w:rFonts w:ascii="Tahoma" w:hAnsi="Tahoma" w:cs="Tahoma"/>
          <w:sz w:val="24"/>
          <w:szCs w:val="24"/>
        </w:rPr>
        <w:t xml:space="preserve"> to 1997 and to currently, the Tax Code provided an equal and uniform remedy in various forms based upon what is commonly referred to as a ratio study. </w:t>
      </w:r>
      <w:r>
        <w:rPr>
          <w:rFonts w:ascii="Tahoma" w:hAnsi="Tahoma" w:cs="Tahoma"/>
          <w:sz w:val="24"/>
          <w:szCs w:val="24"/>
        </w:rPr>
        <w:lastRenderedPageBreak/>
        <w:t>A ratio study selects a sample of properties and compares the market value of the sample properties to the subject property.</w:t>
      </w:r>
    </w:p>
    <w:p w:rsidR="006827D8" w:rsidRDefault="006827D8" w:rsidP="006F5EBB">
      <w:pPr>
        <w:spacing w:after="200" w:line="276" w:lineRule="auto"/>
        <w:ind w:left="450"/>
        <w:jc w:val="both"/>
        <w:rPr>
          <w:rFonts w:ascii="Tahoma" w:eastAsia="Calibri" w:hAnsi="Tahoma" w:cs="Tahoma"/>
        </w:rPr>
      </w:pPr>
      <w:r>
        <w:rPr>
          <w:rFonts w:ascii="Tahoma" w:eastAsia="Calibri" w:hAnsi="Tahoma" w:cs="Tahoma"/>
        </w:rPr>
        <w:t xml:space="preserve">This approach to my knowledge was never used from 1982 to 2014 for two </w:t>
      </w:r>
      <w:r w:rsidR="006F5EBB">
        <w:rPr>
          <w:rFonts w:ascii="Tahoma" w:eastAsia="Calibri" w:hAnsi="Tahoma" w:cs="Tahoma"/>
        </w:rPr>
        <w:t xml:space="preserve">  </w:t>
      </w:r>
      <w:r>
        <w:rPr>
          <w:rFonts w:ascii="Tahoma" w:eastAsia="Calibri" w:hAnsi="Tahoma" w:cs="Tahoma"/>
        </w:rPr>
        <w:t>reasons:</w:t>
      </w:r>
    </w:p>
    <w:p w:rsidR="006827D8" w:rsidRDefault="006827D8" w:rsidP="006827D8">
      <w:pPr>
        <w:pStyle w:val="ListParagraph"/>
        <w:numPr>
          <w:ilvl w:val="0"/>
          <w:numId w:val="5"/>
        </w:numPr>
        <w:spacing w:after="200" w:line="276" w:lineRule="auto"/>
        <w:rPr>
          <w:rFonts w:ascii="Tahoma" w:hAnsi="Tahoma" w:cs="Tahoma"/>
          <w:sz w:val="24"/>
          <w:szCs w:val="24"/>
        </w:rPr>
      </w:pPr>
      <w:r>
        <w:rPr>
          <w:rFonts w:ascii="Tahoma" w:hAnsi="Tahoma" w:cs="Tahoma"/>
          <w:sz w:val="24"/>
          <w:szCs w:val="24"/>
        </w:rPr>
        <w:t xml:space="preserve">The approach requires the determination of market value of the sample properties. An appraiser expert witness cannot comply with the requirements of the Uniform </w:t>
      </w:r>
      <w:r w:rsidR="00C4241B">
        <w:rPr>
          <w:rFonts w:ascii="Tahoma" w:hAnsi="Tahoma" w:cs="Tahoma"/>
          <w:sz w:val="24"/>
          <w:szCs w:val="24"/>
        </w:rPr>
        <w:t>Standards</w:t>
      </w:r>
      <w:r>
        <w:rPr>
          <w:rFonts w:ascii="Tahoma" w:hAnsi="Tahoma" w:cs="Tahoma"/>
          <w:sz w:val="24"/>
          <w:szCs w:val="24"/>
        </w:rPr>
        <w:t xml:space="preserve"> of Professional </w:t>
      </w:r>
      <w:r w:rsidR="00C4241B">
        <w:rPr>
          <w:rFonts w:ascii="Tahoma" w:hAnsi="Tahoma" w:cs="Tahoma"/>
          <w:sz w:val="24"/>
          <w:szCs w:val="24"/>
        </w:rPr>
        <w:t>Appraisal</w:t>
      </w:r>
      <w:r>
        <w:rPr>
          <w:rFonts w:ascii="Tahoma" w:hAnsi="Tahoma" w:cs="Tahoma"/>
          <w:sz w:val="24"/>
          <w:szCs w:val="24"/>
        </w:rPr>
        <w:t xml:space="preserve"> Practice</w:t>
      </w:r>
      <w:r w:rsidR="00C4241B">
        <w:rPr>
          <w:rFonts w:ascii="Tahoma" w:hAnsi="Tahoma" w:cs="Tahoma"/>
          <w:sz w:val="24"/>
          <w:szCs w:val="24"/>
        </w:rPr>
        <w:t xml:space="preserve"> for purposes of determining market value. Thus, this part of the remedy cannot be accomplished. It also would be very expensive to determine market value for all the properties in the sample.</w:t>
      </w:r>
    </w:p>
    <w:p w:rsidR="006F5EBB" w:rsidRDefault="006F5EBB" w:rsidP="006F5EBB">
      <w:pPr>
        <w:pStyle w:val="ListParagraph"/>
        <w:spacing w:after="200" w:line="276" w:lineRule="auto"/>
        <w:ind w:left="1800" w:firstLine="0"/>
        <w:rPr>
          <w:rFonts w:ascii="Tahoma" w:hAnsi="Tahoma" w:cs="Tahoma"/>
          <w:sz w:val="24"/>
          <w:szCs w:val="24"/>
        </w:rPr>
      </w:pPr>
    </w:p>
    <w:p w:rsidR="006827D8" w:rsidRPr="006827D8" w:rsidRDefault="006827D8" w:rsidP="006827D8">
      <w:pPr>
        <w:pStyle w:val="ListParagraph"/>
        <w:numPr>
          <w:ilvl w:val="0"/>
          <w:numId w:val="5"/>
        </w:numPr>
        <w:spacing w:after="200" w:line="276" w:lineRule="auto"/>
        <w:rPr>
          <w:rFonts w:ascii="Tahoma" w:hAnsi="Tahoma" w:cs="Tahoma"/>
          <w:sz w:val="24"/>
          <w:szCs w:val="24"/>
        </w:rPr>
      </w:pPr>
      <w:r>
        <w:rPr>
          <w:rFonts w:ascii="Tahoma" w:hAnsi="Tahoma" w:cs="Tahoma"/>
          <w:sz w:val="24"/>
          <w:szCs w:val="24"/>
        </w:rPr>
        <w:t>A sample is a statistical term which requires the engagement of a statistician. This is expensive and impractical.</w:t>
      </w:r>
    </w:p>
    <w:p w:rsidR="00B203F7" w:rsidRDefault="00B203F7" w:rsidP="00B203F7">
      <w:pPr>
        <w:widowControl/>
        <w:numPr>
          <w:ilvl w:val="0"/>
          <w:numId w:val="1"/>
        </w:numPr>
        <w:tabs>
          <w:tab w:val="left" w:pos="720"/>
          <w:tab w:val="left" w:pos="1440"/>
          <w:tab w:val="center" w:pos="4680"/>
        </w:tabs>
        <w:rPr>
          <w:rFonts w:ascii="Tahoma" w:hAnsi="Tahoma" w:cs="Tahoma"/>
        </w:rPr>
      </w:pPr>
      <w:r>
        <w:rPr>
          <w:rFonts w:ascii="Tahoma" w:hAnsi="Tahoma" w:cs="Tahoma"/>
        </w:rPr>
        <w:t>The Property Tax Code adopted in 1979 in SB 621 by Jones/Peveto provided an equity remedy.</w:t>
      </w:r>
    </w:p>
    <w:p w:rsidR="00B203F7" w:rsidRDefault="00B203F7" w:rsidP="00B203F7">
      <w:pPr>
        <w:widowControl/>
        <w:tabs>
          <w:tab w:val="left" w:pos="720"/>
          <w:tab w:val="left" w:pos="1440"/>
          <w:tab w:val="center" w:pos="4680"/>
        </w:tabs>
        <w:rPr>
          <w:rFonts w:ascii="Tahoma" w:hAnsi="Tahoma" w:cs="Tahoma"/>
        </w:rPr>
      </w:pPr>
    </w:p>
    <w:p w:rsidR="00B203F7" w:rsidRDefault="00DA4008" w:rsidP="00DA4008">
      <w:pPr>
        <w:widowControl/>
        <w:tabs>
          <w:tab w:val="left" w:pos="720"/>
          <w:tab w:val="left" w:pos="1440"/>
          <w:tab w:val="center" w:pos="4680"/>
        </w:tabs>
        <w:ind w:left="450"/>
        <w:jc w:val="both"/>
        <w:rPr>
          <w:rFonts w:ascii="Tahoma" w:hAnsi="Tahoma" w:cs="Tahoma"/>
        </w:rPr>
      </w:pPr>
      <w:r>
        <w:rPr>
          <w:rFonts w:ascii="Tahoma" w:hAnsi="Tahoma" w:cs="Tahoma"/>
        </w:rPr>
        <w:tab/>
      </w:r>
      <w:r w:rsidR="00B203F7">
        <w:rPr>
          <w:rFonts w:ascii="Tahoma" w:hAnsi="Tahoma" w:cs="Tahoma"/>
        </w:rPr>
        <w:t>For a protest, the taxpayer had to prove the subject property was appraised greater than the</w:t>
      </w:r>
      <w:r w:rsidR="002460A4">
        <w:rPr>
          <w:rFonts w:ascii="Tahoma" w:hAnsi="Tahoma" w:cs="Tahoma"/>
        </w:rPr>
        <w:t xml:space="preserve"> aggregate</w:t>
      </w:r>
      <w:r w:rsidR="00B203F7">
        <w:rPr>
          <w:rFonts w:ascii="Tahoma" w:hAnsi="Tahoma" w:cs="Tahoma"/>
        </w:rPr>
        <w:t xml:space="preserve"> mean level of appraisal in the county. This meant </w:t>
      </w:r>
      <w:r w:rsidR="002460A4">
        <w:rPr>
          <w:rFonts w:ascii="Tahoma" w:hAnsi="Tahoma" w:cs="Tahoma"/>
        </w:rPr>
        <w:t xml:space="preserve">proving the appraisal level </w:t>
      </w:r>
      <w:r w:rsidR="00B203F7">
        <w:rPr>
          <w:rFonts w:ascii="Tahoma" w:hAnsi="Tahoma" w:cs="Tahoma"/>
        </w:rPr>
        <w:t>of all properties in the county and comparing the subject to the comparable’s market value.</w:t>
      </w:r>
    </w:p>
    <w:p w:rsidR="00B203F7" w:rsidRDefault="00B203F7" w:rsidP="00B203F7">
      <w:pPr>
        <w:widowControl/>
        <w:tabs>
          <w:tab w:val="left" w:pos="720"/>
          <w:tab w:val="left" w:pos="1440"/>
          <w:tab w:val="center" w:pos="4680"/>
        </w:tabs>
        <w:ind w:left="1440"/>
        <w:jc w:val="both"/>
        <w:rPr>
          <w:rFonts w:ascii="Tahoma" w:hAnsi="Tahoma" w:cs="Tahoma"/>
        </w:rPr>
      </w:pPr>
    </w:p>
    <w:p w:rsidR="00B203F7" w:rsidRDefault="00DA4008" w:rsidP="00DA4008">
      <w:pPr>
        <w:widowControl/>
        <w:tabs>
          <w:tab w:val="left" w:pos="720"/>
          <w:tab w:val="left" w:pos="1440"/>
          <w:tab w:val="center" w:pos="4680"/>
        </w:tabs>
        <w:jc w:val="both"/>
        <w:rPr>
          <w:rFonts w:ascii="Tahoma" w:hAnsi="Tahoma" w:cs="Tahoma"/>
        </w:rPr>
      </w:pPr>
      <w:r>
        <w:rPr>
          <w:rFonts w:ascii="Tahoma" w:hAnsi="Tahoma" w:cs="Tahoma"/>
        </w:rPr>
        <w:tab/>
      </w:r>
      <w:r w:rsidR="00B203F7">
        <w:rPr>
          <w:rFonts w:ascii="Tahoma" w:hAnsi="Tahoma" w:cs="Tahoma"/>
        </w:rPr>
        <w:t>The same approach applied for litigation with an acceptable 10% variance.</w:t>
      </w:r>
    </w:p>
    <w:p w:rsidR="00B203F7" w:rsidRDefault="00B203F7" w:rsidP="00B203F7">
      <w:pPr>
        <w:widowControl/>
        <w:tabs>
          <w:tab w:val="left" w:pos="720"/>
          <w:tab w:val="left" w:pos="1440"/>
          <w:tab w:val="center" w:pos="4680"/>
        </w:tabs>
        <w:ind w:left="1440"/>
        <w:jc w:val="both"/>
        <w:rPr>
          <w:rFonts w:ascii="Tahoma" w:hAnsi="Tahoma" w:cs="Tahoma"/>
        </w:rPr>
      </w:pPr>
    </w:p>
    <w:p w:rsidR="00B203F7" w:rsidRDefault="00DA4008" w:rsidP="00DA4008">
      <w:pPr>
        <w:widowControl/>
        <w:tabs>
          <w:tab w:val="left" w:pos="720"/>
          <w:tab w:val="left" w:pos="1440"/>
          <w:tab w:val="center" w:pos="4680"/>
        </w:tabs>
        <w:ind w:left="450"/>
        <w:jc w:val="both"/>
        <w:rPr>
          <w:rFonts w:ascii="Tahoma" w:hAnsi="Tahoma" w:cs="Tahoma"/>
        </w:rPr>
      </w:pPr>
      <w:r>
        <w:rPr>
          <w:rFonts w:ascii="Tahoma" w:hAnsi="Tahoma" w:cs="Tahoma"/>
        </w:rPr>
        <w:tab/>
      </w:r>
      <w:r w:rsidR="00B203F7">
        <w:rPr>
          <w:rFonts w:ascii="Tahoma" w:hAnsi="Tahoma" w:cs="Tahoma"/>
        </w:rPr>
        <w:t>In my experience</w:t>
      </w:r>
      <w:r w:rsidR="00816FCA">
        <w:rPr>
          <w:rFonts w:ascii="Tahoma" w:hAnsi="Tahoma" w:cs="Tahoma"/>
        </w:rPr>
        <w:t>,</w:t>
      </w:r>
      <w:r w:rsidR="00B203F7">
        <w:rPr>
          <w:rFonts w:ascii="Tahoma" w:hAnsi="Tahoma" w:cs="Tahoma"/>
        </w:rPr>
        <w:t xml:space="preserve"> this approach was never used and thus provided </w:t>
      </w:r>
      <w:r w:rsidR="00C4241B">
        <w:rPr>
          <w:rFonts w:ascii="Tahoma" w:hAnsi="Tahoma" w:cs="Tahoma"/>
        </w:rPr>
        <w:t>no taxpayer remedy for the reasons stated above.</w:t>
      </w:r>
    </w:p>
    <w:p w:rsidR="00B203F7" w:rsidRDefault="00B203F7" w:rsidP="00B203F7">
      <w:pPr>
        <w:widowControl/>
        <w:tabs>
          <w:tab w:val="left" w:pos="720"/>
          <w:tab w:val="left" w:pos="1440"/>
          <w:tab w:val="center" w:pos="4680"/>
        </w:tabs>
        <w:rPr>
          <w:rFonts w:ascii="Tahoma" w:hAnsi="Tahoma" w:cs="Tahoma"/>
        </w:rPr>
      </w:pPr>
    </w:p>
    <w:p w:rsidR="00B203F7" w:rsidRPr="00816FCA" w:rsidRDefault="00B203F7" w:rsidP="00B203F7">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r w:rsidRPr="00816FCA">
        <w:rPr>
          <w:rFonts w:ascii="Tahoma" w:hAnsi="Tahoma" w:cs="Tahoma"/>
        </w:rPr>
        <w:t>HB 30 by Jones/Peveto amended the equal and uniform provision in 1981.</w:t>
      </w:r>
    </w:p>
    <w:p w:rsidR="00B203F7" w:rsidRPr="00816FCA"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jc w:val="both"/>
        <w:rPr>
          <w:rFonts w:ascii="Tahoma" w:hAnsi="Tahoma" w:cs="Tahoma"/>
        </w:rPr>
      </w:pPr>
    </w:p>
    <w:p w:rsidR="00B203F7" w:rsidRPr="00816FCA"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Pr>
          <w:rFonts w:ascii="Tahoma" w:hAnsi="Tahoma" w:cs="Tahoma"/>
        </w:rPr>
        <w:tab/>
      </w:r>
      <w:r w:rsidR="00B203F7" w:rsidRPr="00816FCA">
        <w:rPr>
          <w:rFonts w:ascii="Tahoma" w:hAnsi="Tahoma" w:cs="Tahoma"/>
        </w:rPr>
        <w:t>It changed the term</w:t>
      </w:r>
      <w:r w:rsidR="002460A4">
        <w:rPr>
          <w:rFonts w:ascii="Tahoma" w:hAnsi="Tahoma" w:cs="Tahoma"/>
        </w:rPr>
        <w:t xml:space="preserve"> </w:t>
      </w:r>
      <w:r w:rsidR="00B203F7" w:rsidRPr="00816FCA">
        <w:rPr>
          <w:rFonts w:ascii="Tahoma" w:hAnsi="Tahoma" w:cs="Tahoma"/>
        </w:rPr>
        <w:t>”aggregate mean level of appraisals” to “weighted average level of appraisals</w:t>
      </w:r>
      <w:r w:rsidR="002460A4">
        <w:rPr>
          <w:rFonts w:ascii="Tahoma" w:hAnsi="Tahoma" w:cs="Tahoma"/>
        </w:rPr>
        <w:t>”</w:t>
      </w:r>
      <w:r w:rsidR="00B203F7" w:rsidRPr="00816FCA">
        <w:rPr>
          <w:rFonts w:ascii="Tahoma" w:hAnsi="Tahoma" w:cs="Tahoma"/>
        </w:rPr>
        <w:t>.</w:t>
      </w:r>
      <w:r w:rsidR="00816FCA">
        <w:rPr>
          <w:rFonts w:ascii="Tahoma" w:hAnsi="Tahoma" w:cs="Tahoma"/>
        </w:rPr>
        <w:t xml:space="preserve"> It also required a statistical sample of all properties in the county</w:t>
      </w:r>
      <w:r w:rsidR="002460A4">
        <w:rPr>
          <w:rFonts w:ascii="Tahoma" w:hAnsi="Tahoma" w:cs="Tahoma"/>
        </w:rPr>
        <w:t xml:space="preserve"> rather than all properties in the county</w:t>
      </w:r>
      <w:r w:rsidR="00816FCA">
        <w:rPr>
          <w:rFonts w:ascii="Tahoma" w:hAnsi="Tahoma" w:cs="Tahoma"/>
        </w:rPr>
        <w:t>.</w:t>
      </w:r>
    </w:p>
    <w:p w:rsidR="00B203F7" w:rsidRPr="00816FCA"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jc w:val="both"/>
        <w:rPr>
          <w:rFonts w:ascii="Tahoma" w:hAnsi="Tahoma" w:cs="Tahoma"/>
        </w:rPr>
      </w:pPr>
    </w:p>
    <w:p w:rsidR="00816FCA" w:rsidRDefault="00DA4008" w:rsidP="00DA4008">
      <w:pPr>
        <w:widowControl/>
        <w:tabs>
          <w:tab w:val="left" w:pos="720"/>
          <w:tab w:val="left" w:pos="1440"/>
          <w:tab w:val="center" w:pos="4680"/>
        </w:tabs>
        <w:ind w:left="450"/>
        <w:jc w:val="both"/>
        <w:rPr>
          <w:rFonts w:ascii="Tahoma" w:hAnsi="Tahoma" w:cs="Tahoma"/>
        </w:rPr>
      </w:pPr>
      <w:r>
        <w:rPr>
          <w:rFonts w:ascii="Tahoma" w:hAnsi="Tahoma" w:cs="Tahoma"/>
        </w:rPr>
        <w:tab/>
      </w:r>
      <w:r w:rsidR="00816FCA">
        <w:rPr>
          <w:rFonts w:ascii="Tahoma" w:hAnsi="Tahoma" w:cs="Tahoma"/>
        </w:rPr>
        <w:t xml:space="preserve">Again in my experience, this approach was never used and thus provided </w:t>
      </w:r>
      <w:r w:rsidR="00C4241B">
        <w:rPr>
          <w:rFonts w:ascii="Tahoma" w:hAnsi="Tahoma" w:cs="Tahoma"/>
        </w:rPr>
        <w:t>no taxpayer remedy for the reasons stated above.</w:t>
      </w:r>
    </w:p>
    <w:p w:rsidR="00B203F7"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jc w:val="both"/>
        <w:rPr>
          <w:rFonts w:ascii="Tahoma" w:hAnsi="Tahoma" w:cs="Tahoma"/>
        </w:rPr>
      </w:pPr>
    </w:p>
    <w:p w:rsidR="00B203F7" w:rsidRPr="00816FCA" w:rsidRDefault="00B203F7" w:rsidP="00B203F7">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r w:rsidRPr="00FD32D5">
        <w:rPr>
          <w:rFonts w:ascii="Tahoma" w:hAnsi="Tahoma" w:cs="Tahoma"/>
          <w:b/>
        </w:rPr>
        <w:t>HB 1395 by Schlueter</w:t>
      </w:r>
      <w:r w:rsidR="00816FCA" w:rsidRPr="00FD32D5">
        <w:rPr>
          <w:rFonts w:ascii="Tahoma" w:hAnsi="Tahoma" w:cs="Tahoma"/>
          <w:b/>
        </w:rPr>
        <w:t>/</w:t>
      </w:r>
      <w:r w:rsidRPr="00FD32D5">
        <w:rPr>
          <w:rFonts w:ascii="Tahoma" w:hAnsi="Tahoma" w:cs="Tahoma"/>
          <w:b/>
        </w:rPr>
        <w:t>Jones</w:t>
      </w:r>
      <w:r w:rsidRPr="00816FCA">
        <w:rPr>
          <w:rFonts w:ascii="Tahoma" w:hAnsi="Tahoma" w:cs="Tahoma"/>
        </w:rPr>
        <w:t xml:space="preserve"> amended the provision in 1983. It </w:t>
      </w:r>
      <w:r w:rsidR="00816FCA" w:rsidRPr="00816FCA">
        <w:rPr>
          <w:rFonts w:ascii="Tahoma" w:hAnsi="Tahoma" w:cs="Tahoma"/>
        </w:rPr>
        <w:t>passed</w:t>
      </w:r>
      <w:r w:rsidRPr="00816FCA">
        <w:rPr>
          <w:rFonts w:ascii="Tahoma" w:hAnsi="Tahoma" w:cs="Tahoma"/>
        </w:rPr>
        <w:t xml:space="preserve"> 140-0 in the House and 28-1 in the Senate.</w:t>
      </w:r>
    </w:p>
    <w:p w:rsidR="00B203F7" w:rsidRPr="00816FCA"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p>
    <w:p w:rsidR="00B203F7"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Pr>
          <w:rFonts w:ascii="Tahoma" w:hAnsi="Tahoma" w:cs="Tahoma"/>
        </w:rPr>
        <w:lastRenderedPageBreak/>
        <w:tab/>
      </w:r>
      <w:r w:rsidR="00B203F7" w:rsidRPr="00816FCA">
        <w:rPr>
          <w:rFonts w:ascii="Tahoma" w:hAnsi="Tahoma" w:cs="Tahoma"/>
        </w:rPr>
        <w:t>It changed the term statistically valid sample to a reasonable and representative sample.</w:t>
      </w:r>
    </w:p>
    <w:p w:rsidR="00816FCA" w:rsidRDefault="00816FCA" w:rsidP="00816F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816FCA"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816FCA">
        <w:rPr>
          <w:rFonts w:ascii="Tahoma" w:hAnsi="Tahoma" w:cs="Tahoma"/>
        </w:rPr>
        <w:t xml:space="preserve">Again in my experience, this approach was never used and thus provided </w:t>
      </w:r>
      <w:r w:rsidR="00C4241B">
        <w:rPr>
          <w:rFonts w:ascii="Tahoma" w:hAnsi="Tahoma" w:cs="Tahoma"/>
        </w:rPr>
        <w:t>no taxpayer remedy for the reasons stated above.</w:t>
      </w:r>
    </w:p>
    <w:p w:rsidR="00816FCA" w:rsidRDefault="00816FCA" w:rsidP="00816F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B203F7" w:rsidRPr="00816FCA" w:rsidRDefault="00B203F7" w:rsidP="00B203F7">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r w:rsidRPr="00FD32D5">
        <w:rPr>
          <w:rFonts w:ascii="Tahoma" w:hAnsi="Tahoma" w:cs="Tahoma"/>
          <w:b/>
        </w:rPr>
        <w:t>SB 908 by Jones/Lewis</w:t>
      </w:r>
      <w:r w:rsidRPr="00816FCA">
        <w:rPr>
          <w:rFonts w:ascii="Tahoma" w:hAnsi="Tahoma" w:cs="Tahoma"/>
        </w:rPr>
        <w:t xml:space="preserve"> amended the provision in 1985. It passed the Senate 31-0 and the House 134-0</w:t>
      </w:r>
    </w:p>
    <w:p w:rsidR="00B203F7" w:rsidRPr="00816FCA"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p>
    <w:p w:rsidR="00B203F7"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B203F7" w:rsidRPr="00816FCA">
        <w:rPr>
          <w:rFonts w:ascii="Tahoma" w:hAnsi="Tahoma" w:cs="Tahoma"/>
        </w:rPr>
        <w:t>It changed the term weighted average level of appraisal to median level of appraisal.</w:t>
      </w:r>
    </w:p>
    <w:p w:rsidR="00816FCA" w:rsidRDefault="00816FCA" w:rsidP="00816F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816FCA"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816FCA">
        <w:rPr>
          <w:rFonts w:ascii="Tahoma" w:hAnsi="Tahoma" w:cs="Tahoma"/>
        </w:rPr>
        <w:t xml:space="preserve">Again in my experience, this approach was never used and thus provided </w:t>
      </w:r>
      <w:r w:rsidR="00C4241B">
        <w:rPr>
          <w:rFonts w:ascii="Tahoma" w:hAnsi="Tahoma" w:cs="Tahoma"/>
        </w:rPr>
        <w:t>no taxpayer remedy for the reasons stated above.</w:t>
      </w:r>
    </w:p>
    <w:p w:rsidR="00816FCA" w:rsidRPr="00816FCA" w:rsidRDefault="00816FCA" w:rsidP="00816F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B203F7" w:rsidRDefault="00B203F7" w:rsidP="00B203F7">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r w:rsidRPr="00FD32D5">
        <w:rPr>
          <w:rFonts w:ascii="Tahoma" w:hAnsi="Tahoma" w:cs="Tahoma"/>
          <w:b/>
        </w:rPr>
        <w:t>HB 432 by Stiles/Eckels</w:t>
      </w:r>
      <w:r w:rsidRPr="00816FCA">
        <w:rPr>
          <w:rFonts w:ascii="Tahoma" w:hAnsi="Tahoma" w:cs="Tahoma"/>
        </w:rPr>
        <w:t xml:space="preserve"> amended the provision in 1989. The bill passed 141-0 in the House and 30-1 in the Senate.</w:t>
      </w:r>
    </w:p>
    <w:p w:rsidR="00816FCA" w:rsidRDefault="00816FCA" w:rsidP="00816F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p>
    <w:p w:rsidR="00816FCA" w:rsidRPr="00816FCA"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816FCA">
        <w:rPr>
          <w:rFonts w:ascii="Tahoma" w:hAnsi="Tahoma" w:cs="Tahoma"/>
        </w:rPr>
        <w:t>It changed the requirement from a statistic sample of all properties in the district to  a reasonable and representative sample of 1) all properties in the district or 2) a reasonable numb</w:t>
      </w:r>
    </w:p>
    <w:p w:rsidR="00B203F7" w:rsidRPr="00816FCA" w:rsidRDefault="00B203F7" w:rsidP="00B203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rPr>
      </w:pPr>
    </w:p>
    <w:p w:rsidR="002460A4"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2460A4">
        <w:rPr>
          <w:rFonts w:ascii="Tahoma" w:hAnsi="Tahoma" w:cs="Tahoma"/>
        </w:rPr>
        <w:t xml:space="preserve">Again in my experience, this approach was never used and thus provided </w:t>
      </w:r>
      <w:r w:rsidR="00C4241B">
        <w:rPr>
          <w:rFonts w:ascii="Tahoma" w:hAnsi="Tahoma" w:cs="Tahoma"/>
        </w:rPr>
        <w:t>no taxpayer remedy for the reasons stated above.</w:t>
      </w:r>
    </w:p>
    <w:p w:rsidR="006F5EBB" w:rsidRDefault="006F5EBB" w:rsidP="002460A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C4241B" w:rsidRPr="00C4241B" w:rsidRDefault="00C4241B" w:rsidP="006F5EB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b/>
          <w:sz w:val="28"/>
          <w:szCs w:val="28"/>
        </w:rPr>
      </w:pPr>
      <w:r w:rsidRPr="00C4241B">
        <w:rPr>
          <w:rFonts w:ascii="Tahoma" w:hAnsi="Tahoma" w:cs="Tahoma"/>
          <w:b/>
          <w:sz w:val="28"/>
          <w:szCs w:val="28"/>
        </w:rPr>
        <w:t>For the First Time an Equal and Uniform Remedy That Actually Provides a Remedy</w:t>
      </w:r>
      <w:r w:rsidR="000C69AA">
        <w:rPr>
          <w:rFonts w:ascii="Tahoma" w:hAnsi="Tahoma" w:cs="Tahoma"/>
          <w:b/>
          <w:sz w:val="28"/>
          <w:szCs w:val="28"/>
        </w:rPr>
        <w:t xml:space="preserve"> 1997 to 2014</w:t>
      </w:r>
    </w:p>
    <w:p w:rsidR="00B203F7" w:rsidRPr="00816FCA" w:rsidRDefault="00B203F7" w:rsidP="002460A4">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ascii="Tahoma" w:hAnsi="Tahoma" w:cs="Tahoma"/>
          <w:u w:val="single"/>
        </w:rPr>
      </w:pPr>
      <w:r w:rsidRPr="00816FCA">
        <w:rPr>
          <w:rFonts w:ascii="Tahoma" w:hAnsi="Tahoma" w:cs="Tahoma"/>
        </w:rPr>
        <w:tab/>
      </w:r>
    </w:p>
    <w:p w:rsidR="00B203F7" w:rsidRDefault="00B203F7" w:rsidP="002460A4">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r w:rsidRPr="00FD32D5">
        <w:rPr>
          <w:rFonts w:ascii="Tahoma" w:hAnsi="Tahoma" w:cs="Tahoma"/>
          <w:b/>
        </w:rPr>
        <w:t>SB 841 by Cain/Harris</w:t>
      </w:r>
      <w:r w:rsidR="00627ED1" w:rsidRPr="00FD32D5">
        <w:rPr>
          <w:rFonts w:ascii="Tahoma" w:hAnsi="Tahoma" w:cs="Tahoma"/>
          <w:b/>
        </w:rPr>
        <w:t>/</w:t>
      </w:r>
      <w:r w:rsidRPr="00FD32D5">
        <w:rPr>
          <w:rFonts w:ascii="Tahoma" w:hAnsi="Tahoma" w:cs="Tahoma"/>
          <w:b/>
        </w:rPr>
        <w:t xml:space="preserve"> Nelson</w:t>
      </w:r>
      <w:r w:rsidR="00FD32D5">
        <w:rPr>
          <w:rFonts w:ascii="Tahoma" w:hAnsi="Tahoma" w:cs="Tahoma"/>
          <w:b/>
        </w:rPr>
        <w:t xml:space="preserve"> in 1997</w:t>
      </w:r>
      <w:r w:rsidRPr="00816FCA">
        <w:rPr>
          <w:rFonts w:ascii="Tahoma" w:hAnsi="Tahoma" w:cs="Tahoma"/>
        </w:rPr>
        <w:t xml:space="preserve"> made significant changes to the property tax code. Representative Paul Hilbert</w:t>
      </w:r>
      <w:r w:rsidR="002460A4">
        <w:rPr>
          <w:rFonts w:ascii="Tahoma" w:hAnsi="Tahoma" w:cs="Tahoma"/>
        </w:rPr>
        <w:t xml:space="preserve"> amended</w:t>
      </w:r>
      <w:r w:rsidRPr="00816FCA">
        <w:rPr>
          <w:rFonts w:ascii="Tahoma" w:hAnsi="Tahoma" w:cs="Tahoma"/>
        </w:rPr>
        <w:t xml:space="preserve"> the bill</w:t>
      </w:r>
      <w:r w:rsidR="00F11881">
        <w:rPr>
          <w:rFonts w:ascii="Tahoma" w:hAnsi="Tahoma" w:cs="Tahoma"/>
        </w:rPr>
        <w:t xml:space="preserve"> on the House floor</w:t>
      </w:r>
      <w:r w:rsidRPr="00816FCA">
        <w:rPr>
          <w:rFonts w:ascii="Tahoma" w:hAnsi="Tahoma" w:cs="Tahoma"/>
        </w:rPr>
        <w:t xml:space="preserve"> to provide the current equal and uniform language for litigation. The Senate passed the conference committee report by a vote of 25-1 and the House confirmed the conference committee report by a non</w:t>
      </w:r>
      <w:r w:rsidR="002460A4">
        <w:rPr>
          <w:rFonts w:ascii="Tahoma" w:hAnsi="Tahoma" w:cs="Tahoma"/>
        </w:rPr>
        <w:t>-</w:t>
      </w:r>
      <w:r w:rsidRPr="00816FCA">
        <w:rPr>
          <w:rFonts w:ascii="Tahoma" w:hAnsi="Tahoma" w:cs="Tahoma"/>
        </w:rPr>
        <w:t>record vote.</w:t>
      </w:r>
    </w:p>
    <w:p w:rsidR="002460A4" w:rsidRDefault="002460A4" w:rsidP="002460A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p>
    <w:p w:rsidR="00E13919"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r>
        <w:rPr>
          <w:rFonts w:ascii="Tahoma" w:hAnsi="Tahoma" w:cs="Tahoma"/>
        </w:rPr>
        <w:tab/>
      </w:r>
      <w:r w:rsidR="00E13919">
        <w:rPr>
          <w:rFonts w:ascii="Tahoma" w:hAnsi="Tahoma" w:cs="Tahoma"/>
        </w:rPr>
        <w:t>The new approach only applied to litigation.</w:t>
      </w:r>
    </w:p>
    <w:p w:rsidR="00E13919" w:rsidRDefault="00E13919"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jc w:val="both"/>
        <w:rPr>
          <w:rFonts w:ascii="Tahoma" w:hAnsi="Tahoma" w:cs="Tahoma"/>
        </w:rPr>
      </w:pPr>
    </w:p>
    <w:p w:rsidR="00B203F7"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jc w:val="both"/>
        <w:rPr>
          <w:rFonts w:ascii="Tahoma" w:hAnsi="Tahoma" w:cs="Tahoma"/>
        </w:rPr>
      </w:pPr>
      <w:r>
        <w:rPr>
          <w:rFonts w:ascii="Tahoma" w:hAnsi="Tahoma" w:cs="Tahoma"/>
        </w:rPr>
        <w:tab/>
      </w:r>
      <w:r w:rsidR="00627ED1">
        <w:rPr>
          <w:rFonts w:ascii="Tahoma" w:hAnsi="Tahoma" w:cs="Tahoma"/>
        </w:rPr>
        <w:t>This approach which is current law</w:t>
      </w:r>
      <w:r w:rsidR="00E13919">
        <w:rPr>
          <w:rFonts w:ascii="Tahoma" w:hAnsi="Tahoma" w:cs="Tahoma"/>
        </w:rPr>
        <w:t xml:space="preserve"> provided that a taxpayer may prevail if the appraised value of the subject property exceeds the median appraised value of a reasonable number of comparable properties appropriately adjusted.</w:t>
      </w:r>
    </w:p>
    <w:p w:rsidR="00E13919" w:rsidRDefault="00E13919"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p>
    <w:p w:rsidR="00E13919"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Pr>
          <w:rFonts w:ascii="Tahoma" w:hAnsi="Tahoma" w:cs="Tahoma"/>
        </w:rPr>
        <w:tab/>
      </w:r>
      <w:r w:rsidR="00E13919">
        <w:rPr>
          <w:rFonts w:ascii="Tahoma" w:hAnsi="Tahoma" w:cs="Tahoma"/>
        </w:rPr>
        <w:t>This eliminated the impossible to meet restrictions requiring a statistical sample and the determination of market value for the comparables.</w:t>
      </w:r>
    </w:p>
    <w:p w:rsidR="00E13919" w:rsidRPr="00816FCA" w:rsidRDefault="00E13919"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p>
    <w:p w:rsidR="00B203F7" w:rsidRDefault="00E13919" w:rsidP="00F11881">
      <w:pPr>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r w:rsidRPr="00FD32D5">
        <w:rPr>
          <w:rFonts w:ascii="Tahoma" w:hAnsi="Tahoma" w:cs="Tahoma"/>
          <w:b/>
        </w:rPr>
        <w:t>HB</w:t>
      </w:r>
      <w:r w:rsidR="00B203F7" w:rsidRPr="00FD32D5">
        <w:rPr>
          <w:rFonts w:ascii="Tahoma" w:hAnsi="Tahoma" w:cs="Tahoma"/>
          <w:b/>
        </w:rPr>
        <w:t xml:space="preserve"> 1083 by Talton/Staples in 2003</w:t>
      </w:r>
      <w:r w:rsidR="00B203F7" w:rsidRPr="00816FCA">
        <w:rPr>
          <w:rFonts w:ascii="Tahoma" w:hAnsi="Tahoma" w:cs="Tahoma"/>
        </w:rPr>
        <w:t xml:space="preserve"> changed the equal and uniform statute to the current language for purposes of protest. The bill passed the House and Senate by a non</w:t>
      </w:r>
      <w:r>
        <w:rPr>
          <w:rFonts w:ascii="Tahoma" w:hAnsi="Tahoma" w:cs="Tahoma"/>
        </w:rPr>
        <w:t>-</w:t>
      </w:r>
      <w:r w:rsidR="00B203F7" w:rsidRPr="00816FCA">
        <w:rPr>
          <w:rFonts w:ascii="Tahoma" w:hAnsi="Tahoma" w:cs="Tahoma"/>
        </w:rPr>
        <w:t>record vote.</w:t>
      </w:r>
      <w:r>
        <w:rPr>
          <w:rFonts w:ascii="Tahoma" w:hAnsi="Tahoma" w:cs="Tahoma"/>
        </w:rPr>
        <w:t xml:space="preserve"> There was no opposition by appraisal districts.</w:t>
      </w:r>
    </w:p>
    <w:p w:rsidR="00E13919" w:rsidRDefault="00E13919" w:rsidP="00F1188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ahoma" w:hAnsi="Tahoma" w:cs="Tahoma"/>
        </w:rPr>
      </w:pPr>
    </w:p>
    <w:p w:rsidR="00E13919"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rPr>
          <w:rFonts w:ascii="Tahoma" w:hAnsi="Tahoma" w:cs="Tahoma"/>
        </w:rPr>
      </w:pPr>
      <w:r>
        <w:rPr>
          <w:rFonts w:ascii="Tahoma" w:hAnsi="Tahoma" w:cs="Tahoma"/>
        </w:rPr>
        <w:tab/>
      </w:r>
      <w:r w:rsidR="00E13919">
        <w:rPr>
          <w:rFonts w:ascii="Tahoma" w:hAnsi="Tahoma" w:cs="Tahoma"/>
        </w:rPr>
        <w:t>This added the new approach to the protest process to follow its application to litigation in 1997</w:t>
      </w:r>
      <w:r w:rsidR="00627ED1">
        <w:rPr>
          <w:rFonts w:ascii="Tahoma" w:hAnsi="Tahoma" w:cs="Tahoma"/>
        </w:rPr>
        <w:t>.</w:t>
      </w:r>
    </w:p>
    <w:p w:rsidR="00627ED1" w:rsidRDefault="00627ED1"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627ED1"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Pr>
          <w:rFonts w:ascii="Tahoma" w:hAnsi="Tahoma" w:cs="Tahoma"/>
        </w:rPr>
        <w:tab/>
      </w:r>
      <w:r w:rsidR="00627ED1">
        <w:rPr>
          <w:rFonts w:ascii="Tahoma" w:hAnsi="Tahoma" w:cs="Tahoma"/>
        </w:rPr>
        <w:t>This is important in the debate on equal and uniform. The new statue was in place for five years for purposes of litigation before it was amended to include protests. There was no opposition expressed in committee to its application to protests.</w:t>
      </w:r>
    </w:p>
    <w:p w:rsidR="00627ED1" w:rsidRDefault="00627ED1"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1440"/>
        <w:rPr>
          <w:rFonts w:ascii="Tahoma" w:hAnsi="Tahoma" w:cs="Tahoma"/>
        </w:rPr>
      </w:pPr>
    </w:p>
    <w:p w:rsidR="00627ED1" w:rsidRPr="00627ED1" w:rsidRDefault="00627ED1" w:rsidP="00627ED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b/>
          <w:sz w:val="28"/>
          <w:szCs w:val="28"/>
        </w:rPr>
      </w:pPr>
      <w:r w:rsidRPr="00627ED1">
        <w:rPr>
          <w:rFonts w:ascii="Tahoma" w:hAnsi="Tahoma" w:cs="Tahoma"/>
          <w:b/>
          <w:sz w:val="28"/>
          <w:szCs w:val="28"/>
        </w:rPr>
        <w:t>Improving the Current Equal and Uniform Statute</w:t>
      </w:r>
      <w:r w:rsidR="000C69AA">
        <w:rPr>
          <w:rFonts w:ascii="Tahoma" w:hAnsi="Tahoma" w:cs="Tahoma"/>
          <w:b/>
          <w:sz w:val="28"/>
          <w:szCs w:val="28"/>
        </w:rPr>
        <w:t>: A Legislative Proposal</w:t>
      </w:r>
    </w:p>
    <w:p w:rsidR="00E13919" w:rsidRPr="00627ED1" w:rsidRDefault="00E13919" w:rsidP="00E1391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ahoma" w:hAnsi="Tahoma" w:cs="Tahoma"/>
          <w:sz w:val="28"/>
          <w:szCs w:val="28"/>
        </w:rPr>
      </w:pPr>
    </w:p>
    <w:p w:rsidR="00341517" w:rsidRDefault="00A46429"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Pr>
          <w:rFonts w:ascii="Tahoma" w:hAnsi="Tahoma" w:cs="Tahoma"/>
        </w:rPr>
        <w:t>The primary focus of HB 2083 by Darby and SB 773</w:t>
      </w:r>
      <w:r w:rsidR="00DA4008">
        <w:rPr>
          <w:rFonts w:ascii="Tahoma" w:hAnsi="Tahoma" w:cs="Tahoma"/>
        </w:rPr>
        <w:t xml:space="preserve"> by Hancock</w:t>
      </w:r>
      <w:r>
        <w:rPr>
          <w:rFonts w:ascii="Tahoma" w:hAnsi="Tahoma" w:cs="Tahoma"/>
        </w:rPr>
        <w:t xml:space="preserve"> is to apply basic standards to an equal and uniform appraisal. The bills require that an equal and uniform appraisal must be performed based upon “generally accepted appraisal methods and techniques” </w:t>
      </w:r>
    </w:p>
    <w:p w:rsidR="00341517" w:rsidRDefault="00341517"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p>
    <w:p w:rsidR="00341517" w:rsidRPr="00341517" w:rsidRDefault="00341517"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sidRPr="00341517">
        <w:rPr>
          <w:rFonts w:ascii="Tahoma" w:hAnsi="Tahoma" w:cs="Tahoma"/>
        </w:rPr>
        <w:t>The fundamental basis of the concern is the perceived lack of guidance provided by the statute as to its proper application which may result in improper outcomes.</w:t>
      </w:r>
    </w:p>
    <w:p w:rsidR="00341517" w:rsidRDefault="00341517"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sidRPr="00341517">
        <w:rPr>
          <w:rFonts w:ascii="Tahoma" w:hAnsi="Tahoma" w:cs="Tahoma"/>
        </w:rPr>
        <w:t xml:space="preserve">These concerns </w:t>
      </w:r>
      <w:r w:rsidRPr="00DA4008">
        <w:rPr>
          <w:rFonts w:ascii="Tahoma" w:hAnsi="Tahoma" w:cs="Tahoma"/>
        </w:rPr>
        <w:t>can</w:t>
      </w:r>
      <w:r w:rsidRPr="00341517">
        <w:rPr>
          <w:rFonts w:ascii="Tahoma" w:hAnsi="Tahoma" w:cs="Tahoma"/>
        </w:rPr>
        <w:t xml:space="preserve"> be addressed by requiring that an equal and uniform appraisal be performed with the application of “generally accepted appraisal methods and techniques” </w:t>
      </w:r>
    </w:p>
    <w:p w:rsidR="00DA4008" w:rsidRPr="00DA4008"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p>
    <w:p w:rsidR="00341517" w:rsidRDefault="00341517"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sidRPr="00341517">
        <w:rPr>
          <w:rFonts w:ascii="Tahoma" w:hAnsi="Tahoma" w:cs="Tahoma"/>
        </w:rPr>
        <w:t>The generally accepted appraisal methods standard is the current standard for development of a market value appraisal for property taxes (and appraisals for all other uses) but not specifically for equal and uniform appraisals. It has worked well for market value appraisals for property tax without issue or concern since adoption of the Property Tax Code in 1982.</w:t>
      </w:r>
    </w:p>
    <w:p w:rsidR="00DA4008" w:rsidRPr="00341517"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p>
    <w:p w:rsidR="00341517" w:rsidRDefault="00341517"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sidRPr="00341517">
        <w:rPr>
          <w:rFonts w:ascii="Tahoma" w:hAnsi="Tahoma" w:cs="Tahoma"/>
        </w:rPr>
        <w:t>What are “generally accepted appraisal techniques”?</w:t>
      </w:r>
    </w:p>
    <w:p w:rsidR="00DA4008" w:rsidRPr="00341517" w:rsidRDefault="00DA4008" w:rsidP="00DA400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p>
    <w:p w:rsidR="00341517" w:rsidRPr="00816FCA" w:rsidRDefault="00341517" w:rsidP="004F1D4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450"/>
        <w:jc w:val="both"/>
        <w:rPr>
          <w:rFonts w:ascii="Tahoma" w:hAnsi="Tahoma" w:cs="Tahoma"/>
        </w:rPr>
      </w:pPr>
      <w:r w:rsidRPr="00341517">
        <w:rPr>
          <w:rFonts w:ascii="Tahoma" w:hAnsi="Tahoma" w:cs="Tahoma"/>
        </w:rPr>
        <w:t>They refer to the methods recognized by the appraisal community as legitimate approaches to valuing real property. They are the body of knowledge that all licensed appraisers must use to develop an appraisal. They are embodied in the works of the Appraisal Institute which licenses MAI appraisers. They are expressed in the Uniform Standards of Professional Appraisal Practice, the</w:t>
      </w:r>
      <w:r w:rsidRPr="00341517">
        <w:rPr>
          <w:rFonts w:ascii="Tahoma" w:eastAsiaTheme="minorHAnsi" w:hAnsi="Tahoma" w:cstheme="minorBidi"/>
          <w:szCs w:val="22"/>
        </w:rPr>
        <w:t xml:space="preserve"> textbook the Appraisal of Real Estate, the periodical, the Appraisal Journal and writings and courses of the Appraisal Institute.</w:t>
      </w:r>
      <w:r w:rsidR="004F1D41">
        <w:rPr>
          <w:rFonts w:ascii="Tahoma" w:hAnsi="Tahoma" w:cs="Tahoma"/>
        </w:rPr>
        <w:t xml:space="preserve"> </w:t>
      </w:r>
    </w:p>
    <w:sectPr w:rsidR="00341517" w:rsidRPr="00816FCA" w:rsidSect="00DA4008">
      <w:footerReference w:type="default" r:id="rId9"/>
      <w:pgSz w:w="12240" w:h="15840" w:code="1"/>
      <w:pgMar w:top="1440" w:right="1440" w:bottom="2040" w:left="1440" w:header="1440" w:footer="24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1B" w:rsidRDefault="00C4241B" w:rsidP="00C4241B">
      <w:r>
        <w:separator/>
      </w:r>
    </w:p>
  </w:endnote>
  <w:endnote w:type="continuationSeparator" w:id="0">
    <w:p w:rsidR="00C4241B" w:rsidRDefault="00C4241B" w:rsidP="00C4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63096"/>
      <w:docPartObj>
        <w:docPartGallery w:val="Page Numbers (Bottom of Page)"/>
        <w:docPartUnique/>
      </w:docPartObj>
    </w:sdtPr>
    <w:sdtEndPr>
      <w:rPr>
        <w:noProof/>
      </w:rPr>
    </w:sdtEndPr>
    <w:sdtContent>
      <w:p w:rsidR="00C4241B" w:rsidRDefault="00C4241B">
        <w:pPr>
          <w:pStyle w:val="Footer"/>
          <w:jc w:val="center"/>
        </w:pPr>
        <w:r>
          <w:fldChar w:fldCharType="begin"/>
        </w:r>
        <w:r>
          <w:instrText xml:space="preserve"> PAGE   \* MERGEFORMAT </w:instrText>
        </w:r>
        <w:r>
          <w:fldChar w:fldCharType="separate"/>
        </w:r>
        <w:r w:rsidR="008F02AB">
          <w:rPr>
            <w:noProof/>
          </w:rPr>
          <w:t>1</w:t>
        </w:r>
        <w:r>
          <w:rPr>
            <w:noProof/>
          </w:rPr>
          <w:fldChar w:fldCharType="end"/>
        </w:r>
      </w:p>
    </w:sdtContent>
  </w:sdt>
  <w:p w:rsidR="00C4241B" w:rsidRDefault="00C42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1B" w:rsidRDefault="00C4241B" w:rsidP="00C4241B">
      <w:r>
        <w:separator/>
      </w:r>
    </w:p>
  </w:footnote>
  <w:footnote w:type="continuationSeparator" w:id="0">
    <w:p w:rsidR="00C4241B" w:rsidRDefault="00C4241B" w:rsidP="00C424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1A83"/>
    <w:multiLevelType w:val="hybridMultilevel"/>
    <w:tmpl w:val="7CC2B27C"/>
    <w:lvl w:ilvl="0" w:tplc="920C831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174033F4"/>
    <w:multiLevelType w:val="hybridMultilevel"/>
    <w:tmpl w:val="751661DC"/>
    <w:lvl w:ilvl="0" w:tplc="BDCCF1E6">
      <w:start w:val="1"/>
      <w:numFmt w:val="decimal"/>
      <w:lvlText w:val="(%1)"/>
      <w:lvlJc w:val="left"/>
      <w:pPr>
        <w:ind w:left="4860" w:hanging="360"/>
      </w:pPr>
      <w:rPr>
        <w:u w:val="single"/>
      </w:rPr>
    </w:lvl>
    <w:lvl w:ilvl="1" w:tplc="04090019">
      <w:start w:val="1"/>
      <w:numFmt w:val="lowerLetter"/>
      <w:lvlText w:val="%2."/>
      <w:lvlJc w:val="left"/>
      <w:pPr>
        <w:ind w:left="5580" w:hanging="360"/>
      </w:pPr>
    </w:lvl>
    <w:lvl w:ilvl="2" w:tplc="0409001B">
      <w:start w:val="1"/>
      <w:numFmt w:val="lowerRoman"/>
      <w:lvlText w:val="%3."/>
      <w:lvlJc w:val="right"/>
      <w:pPr>
        <w:ind w:left="6300" w:hanging="180"/>
      </w:pPr>
    </w:lvl>
    <w:lvl w:ilvl="3" w:tplc="0409000F">
      <w:start w:val="1"/>
      <w:numFmt w:val="decimal"/>
      <w:lvlText w:val="%4."/>
      <w:lvlJc w:val="left"/>
      <w:pPr>
        <w:ind w:left="7020" w:hanging="360"/>
      </w:pPr>
    </w:lvl>
    <w:lvl w:ilvl="4" w:tplc="04090019">
      <w:start w:val="1"/>
      <w:numFmt w:val="lowerLetter"/>
      <w:lvlText w:val="%5."/>
      <w:lvlJc w:val="left"/>
      <w:pPr>
        <w:ind w:left="7740" w:hanging="360"/>
      </w:pPr>
    </w:lvl>
    <w:lvl w:ilvl="5" w:tplc="0409001B">
      <w:start w:val="1"/>
      <w:numFmt w:val="lowerRoman"/>
      <w:lvlText w:val="%6."/>
      <w:lvlJc w:val="right"/>
      <w:pPr>
        <w:ind w:left="8460" w:hanging="180"/>
      </w:pPr>
    </w:lvl>
    <w:lvl w:ilvl="6" w:tplc="0409000F">
      <w:start w:val="1"/>
      <w:numFmt w:val="decimal"/>
      <w:lvlText w:val="%7."/>
      <w:lvlJc w:val="left"/>
      <w:pPr>
        <w:ind w:left="9180" w:hanging="360"/>
      </w:pPr>
    </w:lvl>
    <w:lvl w:ilvl="7" w:tplc="04090019">
      <w:start w:val="1"/>
      <w:numFmt w:val="lowerLetter"/>
      <w:lvlText w:val="%8."/>
      <w:lvlJc w:val="left"/>
      <w:pPr>
        <w:ind w:left="9900" w:hanging="360"/>
      </w:pPr>
    </w:lvl>
    <w:lvl w:ilvl="8" w:tplc="0409001B">
      <w:start w:val="1"/>
      <w:numFmt w:val="lowerRoman"/>
      <w:lvlText w:val="%9."/>
      <w:lvlJc w:val="right"/>
      <w:pPr>
        <w:ind w:left="10620" w:hanging="180"/>
      </w:pPr>
    </w:lvl>
  </w:abstractNum>
  <w:abstractNum w:abstractNumId="2">
    <w:nsid w:val="4CE35380"/>
    <w:multiLevelType w:val="hybridMultilevel"/>
    <w:tmpl w:val="F6F0F8E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5AD315CF"/>
    <w:multiLevelType w:val="hybridMultilevel"/>
    <w:tmpl w:val="1F901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3F7"/>
    <w:rsid w:val="000C69AA"/>
    <w:rsid w:val="001A75B3"/>
    <w:rsid w:val="001D25A6"/>
    <w:rsid w:val="002460A4"/>
    <w:rsid w:val="00341517"/>
    <w:rsid w:val="004F1D41"/>
    <w:rsid w:val="005A65B7"/>
    <w:rsid w:val="00627ED1"/>
    <w:rsid w:val="006827D8"/>
    <w:rsid w:val="006F5EBB"/>
    <w:rsid w:val="00816FCA"/>
    <w:rsid w:val="008F02AB"/>
    <w:rsid w:val="00A46429"/>
    <w:rsid w:val="00B203F7"/>
    <w:rsid w:val="00C4241B"/>
    <w:rsid w:val="00DA4008"/>
    <w:rsid w:val="00E13919"/>
    <w:rsid w:val="00F11881"/>
    <w:rsid w:val="00FD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3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ft">
    <w:name w:val="left"/>
    <w:basedOn w:val="Normal"/>
    <w:rsid w:val="00B203F7"/>
    <w:pPr>
      <w:widowControl/>
      <w:autoSpaceDE/>
      <w:autoSpaceDN/>
      <w:adjustRightInd/>
      <w:spacing w:line="360" w:lineRule="atLeast"/>
    </w:pPr>
    <w:rPr>
      <w:rFonts w:ascii="Courier New" w:hAnsi="Courier New" w:cs="Courier New"/>
    </w:rPr>
  </w:style>
  <w:style w:type="paragraph" w:styleId="ListParagraph">
    <w:name w:val="List Paragraph"/>
    <w:basedOn w:val="Normal"/>
    <w:uiPriority w:val="34"/>
    <w:qFormat/>
    <w:rsid w:val="00B203F7"/>
    <w:pPr>
      <w:widowControl/>
      <w:autoSpaceDE/>
      <w:autoSpaceDN/>
      <w:adjustRightInd/>
      <w:ind w:left="720" w:firstLine="720"/>
      <w:contextualSpacing/>
      <w:jc w:val="both"/>
    </w:pPr>
    <w:rPr>
      <w:rFonts w:ascii="Calibri" w:eastAsia="Calibri" w:hAnsi="Calibri"/>
      <w:sz w:val="22"/>
      <w:szCs w:val="22"/>
    </w:rPr>
  </w:style>
  <w:style w:type="paragraph" w:styleId="Header">
    <w:name w:val="header"/>
    <w:basedOn w:val="Normal"/>
    <w:link w:val="HeaderChar"/>
    <w:uiPriority w:val="99"/>
    <w:unhideWhenUsed/>
    <w:rsid w:val="00C4241B"/>
    <w:pPr>
      <w:tabs>
        <w:tab w:val="center" w:pos="4680"/>
        <w:tab w:val="right" w:pos="9360"/>
      </w:tabs>
    </w:pPr>
  </w:style>
  <w:style w:type="character" w:customStyle="1" w:styleId="HeaderChar">
    <w:name w:val="Header Char"/>
    <w:basedOn w:val="DefaultParagraphFont"/>
    <w:link w:val="Header"/>
    <w:uiPriority w:val="99"/>
    <w:rsid w:val="00C424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241B"/>
    <w:pPr>
      <w:tabs>
        <w:tab w:val="center" w:pos="4680"/>
        <w:tab w:val="right" w:pos="9360"/>
      </w:tabs>
    </w:pPr>
  </w:style>
  <w:style w:type="character" w:customStyle="1" w:styleId="FooterChar">
    <w:name w:val="Footer Char"/>
    <w:basedOn w:val="DefaultParagraphFont"/>
    <w:link w:val="Footer"/>
    <w:uiPriority w:val="99"/>
    <w:rsid w:val="00C4241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5EBB"/>
    <w:rPr>
      <w:rFonts w:ascii="Tahoma" w:hAnsi="Tahoma" w:cs="Tahoma"/>
      <w:sz w:val="16"/>
      <w:szCs w:val="16"/>
    </w:rPr>
  </w:style>
  <w:style w:type="character" w:customStyle="1" w:styleId="BalloonTextChar">
    <w:name w:val="Balloon Text Char"/>
    <w:basedOn w:val="DefaultParagraphFont"/>
    <w:link w:val="BalloonText"/>
    <w:uiPriority w:val="99"/>
    <w:semiHidden/>
    <w:rsid w:val="006F5EB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3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ft">
    <w:name w:val="left"/>
    <w:basedOn w:val="Normal"/>
    <w:rsid w:val="00B203F7"/>
    <w:pPr>
      <w:widowControl/>
      <w:autoSpaceDE/>
      <w:autoSpaceDN/>
      <w:adjustRightInd/>
      <w:spacing w:line="360" w:lineRule="atLeast"/>
    </w:pPr>
    <w:rPr>
      <w:rFonts w:ascii="Courier New" w:hAnsi="Courier New" w:cs="Courier New"/>
    </w:rPr>
  </w:style>
  <w:style w:type="paragraph" w:styleId="ListParagraph">
    <w:name w:val="List Paragraph"/>
    <w:basedOn w:val="Normal"/>
    <w:uiPriority w:val="34"/>
    <w:qFormat/>
    <w:rsid w:val="00B203F7"/>
    <w:pPr>
      <w:widowControl/>
      <w:autoSpaceDE/>
      <w:autoSpaceDN/>
      <w:adjustRightInd/>
      <w:ind w:left="720" w:firstLine="720"/>
      <w:contextualSpacing/>
      <w:jc w:val="both"/>
    </w:pPr>
    <w:rPr>
      <w:rFonts w:ascii="Calibri" w:eastAsia="Calibri" w:hAnsi="Calibri"/>
      <w:sz w:val="22"/>
      <w:szCs w:val="22"/>
    </w:rPr>
  </w:style>
  <w:style w:type="paragraph" w:styleId="Header">
    <w:name w:val="header"/>
    <w:basedOn w:val="Normal"/>
    <w:link w:val="HeaderChar"/>
    <w:uiPriority w:val="99"/>
    <w:unhideWhenUsed/>
    <w:rsid w:val="00C4241B"/>
    <w:pPr>
      <w:tabs>
        <w:tab w:val="center" w:pos="4680"/>
        <w:tab w:val="right" w:pos="9360"/>
      </w:tabs>
    </w:pPr>
  </w:style>
  <w:style w:type="character" w:customStyle="1" w:styleId="HeaderChar">
    <w:name w:val="Header Char"/>
    <w:basedOn w:val="DefaultParagraphFont"/>
    <w:link w:val="Header"/>
    <w:uiPriority w:val="99"/>
    <w:rsid w:val="00C424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241B"/>
    <w:pPr>
      <w:tabs>
        <w:tab w:val="center" w:pos="4680"/>
        <w:tab w:val="right" w:pos="9360"/>
      </w:tabs>
    </w:pPr>
  </w:style>
  <w:style w:type="character" w:customStyle="1" w:styleId="FooterChar">
    <w:name w:val="Footer Char"/>
    <w:basedOn w:val="DefaultParagraphFont"/>
    <w:link w:val="Footer"/>
    <w:uiPriority w:val="99"/>
    <w:rsid w:val="00C4241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5EBB"/>
    <w:rPr>
      <w:rFonts w:ascii="Tahoma" w:hAnsi="Tahoma" w:cs="Tahoma"/>
      <w:sz w:val="16"/>
      <w:szCs w:val="16"/>
    </w:rPr>
  </w:style>
  <w:style w:type="character" w:customStyle="1" w:styleId="BalloonTextChar">
    <w:name w:val="Balloon Text Char"/>
    <w:basedOn w:val="DefaultParagraphFont"/>
    <w:link w:val="BalloonText"/>
    <w:uiPriority w:val="99"/>
    <w:semiHidden/>
    <w:rsid w:val="006F5EB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Popp, Gray and Hutcheson, LLP</Company>
  <LinksUpToDate>false</LinksUpToDate>
  <CharactersWithSpaces>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Popp</dc:creator>
  <cp:lastModifiedBy>Jim Popp</cp:lastModifiedBy>
  <cp:revision>2</cp:revision>
  <cp:lastPrinted>2015-03-18T21:51:00Z</cp:lastPrinted>
  <dcterms:created xsi:type="dcterms:W3CDTF">2015-03-19T14:33:00Z</dcterms:created>
  <dcterms:modified xsi:type="dcterms:W3CDTF">2015-03-19T14:33:00Z</dcterms:modified>
</cp:coreProperties>
</file>